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03A4" w14:textId="77777777" w:rsidR="00F437F2" w:rsidRDefault="00000000">
      <w:pPr>
        <w:spacing w:after="240"/>
        <w:jc w:val="center"/>
      </w:pPr>
      <w:r>
        <w:rPr>
          <w:b/>
          <w:bCs/>
          <w:sz w:val="26"/>
          <w:szCs w:val="26"/>
        </w:rPr>
        <w:t>HOSPITALIZACIONES POR NEOPLASIAS MALIGNAS DE CABEZA Y CUELLO EN CHILE: EPIDEMIOLOGÍA, FACTORES PRONÓSTICOS HOSPITALARIOS Y REDES DE COMORBILIDAD</w:t>
      </w:r>
    </w:p>
    <w:p w14:paraId="7CB8B06C" w14:textId="77777777" w:rsidR="00F437F2" w:rsidRDefault="00000000">
      <w:pPr>
        <w:spacing w:after="200"/>
        <w:jc w:val="both"/>
      </w:pPr>
      <w:r>
        <w:rPr>
          <w:b/>
          <w:bCs/>
        </w:rPr>
        <w:t xml:space="preserve">Introducción: </w:t>
      </w:r>
      <w:r>
        <w:t>Las neoplasias malignas de cabeza y cuello (CIE-10 C00–C14, C30–C32) constituyen un grupo heterogéneo de tumores con carga relevante en Chile, asociados a tabaco, alcohol, infección por VPH y exposiciones ocupacionales. Pese a su impacto, existe escasa evidencia integrada que combine epidemiología hospitalaria, modelamiento pronóstico jerárquico y caracterización sistémica de la multimorbilidad. Este trabajo aborda en forma integrada las tendencias y patrones espaciales nacionales, los factores asociados a mortalidad intrahospitalaria y estadía, y la arquitectura de redes de comorbilidad en pacientes oncológicos.</w:t>
      </w:r>
    </w:p>
    <w:p w14:paraId="54552488" w14:textId="0E6E47C2" w:rsidR="00F437F2" w:rsidRDefault="00000000">
      <w:pPr>
        <w:spacing w:after="200"/>
        <w:jc w:val="both"/>
      </w:pPr>
      <w:r>
        <w:rPr>
          <w:b/>
          <w:bCs/>
        </w:rPr>
        <w:t xml:space="preserve">Materiales y Métodos: </w:t>
      </w:r>
      <w:r>
        <w:t xml:space="preserve">Se analizaron los Egresos Hospitalarios del DEIS (2010–2024) y el sistema de Grupos Relacionados de Diagnóstico (GRD, 2019–2024) del Ministerio de Salud de Chile. El componente descriptivo-ecológico clasificó los egresos en 18 sitios anatómicos agrupados en subsitios clínicos (cavidad oral, glándulas salivales, orofaringe, nasofaringe, hipofaringe, faringe otra, </w:t>
      </w:r>
      <w:proofErr w:type="spellStart"/>
      <w:r>
        <w:t>sinonasal</w:t>
      </w:r>
      <w:proofErr w:type="spellEnd"/>
      <w:r>
        <w:t xml:space="preserve"> y laringe), calculó tasas estandarizadas por edad con la población estándar OMS y examinó patrones espaciales comunales mediante índice de Moran y LISA con contigüidad Queen. El componente pronóstico ajustó ecuaciones de estimación generalizadas con correlación intercambiable y hospital como clúster (</w:t>
      </w:r>
      <w:proofErr w:type="spellStart"/>
      <w:r w:rsidR="00B12CDB">
        <w:t>logit</w:t>
      </w:r>
      <w:proofErr w:type="spellEnd"/>
      <w:r>
        <w:t xml:space="preserve"> para mortalidad y binomial negativa para estadía), incorporando severidad, riesgo de mortalidad, edad, sexo y comorbilidades seleccionadas por significancia </w:t>
      </w:r>
      <w:proofErr w:type="spellStart"/>
      <w:r>
        <w:t>bivariada</w:t>
      </w:r>
      <w:proofErr w:type="spellEnd"/>
      <w:r>
        <w:t xml:space="preserve"> por sitio. Complementariamente se entrenaron cinco algoritmos de aprendizaje automático con seis estrategias de balanceo de clases, optimizando el umbral por índice de </w:t>
      </w:r>
      <w:proofErr w:type="spellStart"/>
      <w:r>
        <w:t>Youden</w:t>
      </w:r>
      <w:proofErr w:type="spellEnd"/>
      <w:r>
        <w:t xml:space="preserve">. El componente de redes construyó grafos anuales de </w:t>
      </w:r>
      <w:proofErr w:type="spellStart"/>
      <w:r>
        <w:t>co</w:t>
      </w:r>
      <w:proofErr w:type="spellEnd"/>
      <w:r>
        <w:t xml:space="preserve">-ocurrencia de comorbilidades extraídas de los diagnósticos secundarios, agrupadas en 48 categorías dentro de diez sistemas, ponderados por similitud de Jaccard (percentil 70) y analizados mediante detección de comunidades de </w:t>
      </w:r>
      <w:proofErr w:type="spellStart"/>
      <w:r>
        <w:t>Louvain</w:t>
      </w:r>
      <w:proofErr w:type="spellEnd"/>
      <w:r>
        <w:t>, centralidad multidimensional y descomposición k-</w:t>
      </w:r>
      <w:proofErr w:type="spellStart"/>
      <w:r>
        <w:t>core</w:t>
      </w:r>
      <w:proofErr w:type="spellEnd"/>
      <w:r>
        <w:t>.</w:t>
      </w:r>
    </w:p>
    <w:p w14:paraId="616754A3" w14:textId="1104A9DA" w:rsidR="00F437F2" w:rsidRDefault="00000000">
      <w:pPr>
        <w:spacing w:after="200"/>
        <w:jc w:val="both"/>
      </w:pPr>
      <w:r>
        <w:rPr>
          <w:b/>
          <w:bCs/>
        </w:rPr>
        <w:t xml:space="preserve">Resultados: </w:t>
      </w:r>
      <w:r>
        <w:t>Se identificaron 24.575 hospitalizaciones entre 2010 y 2024 (16.472 hombres y 8.103 mujeres; razón M:F 2,03; promedio 1.638 por año), con predominio de laringe (C32) seguido de cavidad oral. El análisis espacial reveló 22 comunas High-High (</w:t>
      </w:r>
      <w:proofErr w:type="spellStart"/>
      <w:r>
        <w:t>hot</w:t>
      </w:r>
      <w:proofErr w:type="spellEnd"/>
      <w:r>
        <w:t xml:space="preserve"> spots) y 24 Low-Low (</w:t>
      </w:r>
      <w:proofErr w:type="spellStart"/>
      <w:r>
        <w:t>cold</w:t>
      </w:r>
      <w:proofErr w:type="spellEnd"/>
      <w:r>
        <w:t xml:space="preserve"> spots), confirmando concentración geográfica significativa</w:t>
      </w:r>
      <w:r w:rsidR="00B12CDB">
        <w:t xml:space="preserve"> en varias partes del país</w:t>
      </w:r>
      <w:r>
        <w:t xml:space="preserve">. En la cohorte GRD 2019–2024 (n=9.411; mortalidad global 6,4%; mediana de estadía 5 días), los modelos jerárquicos por sitio alcanzaron áreas bajo la curva entre 0,86 y 0,94 para mortalidad intrahospitalaria, con mejor desempeño en glándulas salivales (0,935) y rendimientos consistentes en cavidad oral (0,897), </w:t>
      </w:r>
      <w:proofErr w:type="spellStart"/>
      <w:r>
        <w:t>sinonasal</w:t>
      </w:r>
      <w:proofErr w:type="spellEnd"/>
      <w:r>
        <w:t xml:space="preserve"> y faringe otra (0,898), </w:t>
      </w:r>
      <w:proofErr w:type="spellStart"/>
      <w:r>
        <w:t>oroharinge</w:t>
      </w:r>
      <w:proofErr w:type="spellEnd"/>
      <w:r>
        <w:t xml:space="preserve"> (0,888), hipofaringe (0,862) y laringe (0,859). El aprendizaje automático bajo balanceo de clases alcanzó valores máximos de 0,65–0,84, manteniendo a los modelos jerárquicos como referencia interpretativa. La mayor mortalidad observada correspondió a faringe otra (10,7%) e hipofaringe (8,2%). El análisis de redes mostró que hipertensión esencial, diabetes y anemia fueron las comorbilidades más prevalentes y centrales, con expansión del número de nodos y aristas entre 2019 y 2024, modularidad sustancial y comunidades clínicamente coherentes (</w:t>
      </w:r>
      <w:proofErr w:type="spellStart"/>
      <w:r>
        <w:t>cardiometabólica</w:t>
      </w:r>
      <w:proofErr w:type="spellEnd"/>
      <w:r>
        <w:t>, respiratoria-tóxica y hepático-nutricional), así como un núcleo k-</w:t>
      </w:r>
      <w:proofErr w:type="spellStart"/>
      <w:r>
        <w:t>core</w:t>
      </w:r>
      <w:proofErr w:type="spellEnd"/>
      <w:r>
        <w:t xml:space="preserve"> estable centrado en enfermedades crónicas no transmisibles.</w:t>
      </w:r>
    </w:p>
    <w:p w14:paraId="5426EC3F" w14:textId="77777777" w:rsidR="00F437F2" w:rsidRDefault="00000000">
      <w:pPr>
        <w:spacing w:after="200"/>
        <w:jc w:val="both"/>
      </w:pPr>
      <w:r>
        <w:rPr>
          <w:b/>
          <w:bCs/>
        </w:rPr>
        <w:t xml:space="preserve">Conclusiones: </w:t>
      </w:r>
      <w:r>
        <w:t>Las hospitalizaciones por cáncer de cabeza y cuello en Chile presentan patrones espaciales, pronósticos y de multimorbilidad específicos por subsitio. La integración de epidemiología descriptiva, modelos jerárquicos y análisis de redes ofrece una visión sistémica útil para priorizar prevención, planificación hospitalaria y manejo integral de la comorbilidad.</w:t>
      </w:r>
    </w:p>
    <w:p w14:paraId="74421077" w14:textId="77777777" w:rsidR="00F437F2" w:rsidRDefault="00000000">
      <w:pPr>
        <w:spacing w:before="200"/>
        <w:jc w:val="both"/>
      </w:pPr>
      <w:r>
        <w:rPr>
          <w:b/>
          <w:bCs/>
        </w:rPr>
        <w:lastRenderedPageBreak/>
        <w:t xml:space="preserve">Palabras clave: </w:t>
      </w:r>
      <w:r>
        <w:t>neoplasias de cabeza y cuello; epidemiología hospitalaria; ecuaciones de estimación generalizadas; aprendizaje automático; redes de comorbilidad; Chile.</w:t>
      </w:r>
    </w:p>
    <w:sectPr w:rsidR="00F437F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154BA"/>
    <w:multiLevelType w:val="hybridMultilevel"/>
    <w:tmpl w:val="C058ABD6"/>
    <w:lvl w:ilvl="0" w:tplc="D58A88CE">
      <w:start w:val="1"/>
      <w:numFmt w:val="bullet"/>
      <w:lvlText w:val="●"/>
      <w:lvlJc w:val="left"/>
      <w:pPr>
        <w:ind w:left="720" w:hanging="360"/>
      </w:pPr>
    </w:lvl>
    <w:lvl w:ilvl="1" w:tplc="E3BE7FA6">
      <w:start w:val="1"/>
      <w:numFmt w:val="bullet"/>
      <w:lvlText w:val="○"/>
      <w:lvlJc w:val="left"/>
      <w:pPr>
        <w:ind w:left="1440" w:hanging="360"/>
      </w:pPr>
    </w:lvl>
    <w:lvl w:ilvl="2" w:tplc="71240C32">
      <w:start w:val="1"/>
      <w:numFmt w:val="bullet"/>
      <w:lvlText w:val="■"/>
      <w:lvlJc w:val="left"/>
      <w:pPr>
        <w:ind w:left="2160" w:hanging="360"/>
      </w:pPr>
    </w:lvl>
    <w:lvl w:ilvl="3" w:tplc="2C10CB58">
      <w:start w:val="1"/>
      <w:numFmt w:val="bullet"/>
      <w:lvlText w:val="●"/>
      <w:lvlJc w:val="left"/>
      <w:pPr>
        <w:ind w:left="2880" w:hanging="360"/>
      </w:pPr>
    </w:lvl>
    <w:lvl w:ilvl="4" w:tplc="8DC0672A">
      <w:start w:val="1"/>
      <w:numFmt w:val="bullet"/>
      <w:lvlText w:val="○"/>
      <w:lvlJc w:val="left"/>
      <w:pPr>
        <w:ind w:left="3600" w:hanging="360"/>
      </w:pPr>
    </w:lvl>
    <w:lvl w:ilvl="5" w:tplc="1BE8F060">
      <w:start w:val="1"/>
      <w:numFmt w:val="bullet"/>
      <w:lvlText w:val="■"/>
      <w:lvlJc w:val="left"/>
      <w:pPr>
        <w:ind w:left="4320" w:hanging="360"/>
      </w:pPr>
    </w:lvl>
    <w:lvl w:ilvl="6" w:tplc="5538D2EC">
      <w:start w:val="1"/>
      <w:numFmt w:val="bullet"/>
      <w:lvlText w:val="●"/>
      <w:lvlJc w:val="left"/>
      <w:pPr>
        <w:ind w:left="5040" w:hanging="360"/>
      </w:pPr>
    </w:lvl>
    <w:lvl w:ilvl="7" w:tplc="55004DC4">
      <w:start w:val="1"/>
      <w:numFmt w:val="bullet"/>
      <w:lvlText w:val="●"/>
      <w:lvlJc w:val="left"/>
      <w:pPr>
        <w:ind w:left="5760" w:hanging="360"/>
      </w:pPr>
    </w:lvl>
    <w:lvl w:ilvl="8" w:tplc="E6A4BE32">
      <w:start w:val="1"/>
      <w:numFmt w:val="bullet"/>
      <w:lvlText w:val="●"/>
      <w:lvlJc w:val="left"/>
      <w:pPr>
        <w:ind w:left="6480" w:hanging="360"/>
      </w:pPr>
    </w:lvl>
  </w:abstractNum>
  <w:num w:numId="1" w16cid:durableId="1559170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F2"/>
    <w:rsid w:val="005B144C"/>
    <w:rsid w:val="00B12CDB"/>
    <w:rsid w:val="00F437F2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E0086"/>
  <w15:docId w15:val="{5EED4AE8-3F7D-FB4E-B05C-456A2B71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Amaru Aguero</cp:lastModifiedBy>
  <cp:revision>2</cp:revision>
  <dcterms:created xsi:type="dcterms:W3CDTF">2026-04-07T19:30:00Z</dcterms:created>
  <dcterms:modified xsi:type="dcterms:W3CDTF">2026-04-07T20:02:00Z</dcterms:modified>
</cp:coreProperties>
</file>